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7C" w:rsidRDefault="00F7667C" w:rsidP="00F7667C">
      <w:pPr>
        <w:rPr>
          <w:rFonts w:ascii="Verdana" w:eastAsiaTheme="minorEastAsia" w:hAnsi="Verdana"/>
          <w:noProof/>
          <w:color w:val="595959" w:themeColor="text1" w:themeTint="A6"/>
          <w:sz w:val="20"/>
          <w:szCs w:val="20"/>
        </w:rPr>
      </w:pPr>
      <w:bookmarkStart w:id="0" w:name="_GoBack"/>
      <w:bookmarkEnd w:id="0"/>
      <w:r>
        <w:rPr>
          <w:rFonts w:eastAsiaTheme="minorEastAsia"/>
          <w:noProof/>
        </w:rPr>
        <w:drawing>
          <wp:inline distT="0" distB="0" distL="0" distR="0">
            <wp:extent cx="2019300" cy="266700"/>
            <wp:effectExtent l="19050" t="0" r="0" b="0"/>
            <wp:docPr id="1" name="Picture 1" descr="signature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4">
                      <a:hlinkClick r:id="rId7"/>
                    </pic:cNvPr>
                    <pic:cNvPicPr>
                      <a:picLocks noChangeAspect="1" noChangeArrowheads="1"/>
                    </pic:cNvPicPr>
                  </pic:nvPicPr>
                  <pic:blipFill>
                    <a:blip r:embed="rId8" cstate="print"/>
                    <a:srcRect/>
                    <a:stretch>
                      <a:fillRect/>
                    </a:stretch>
                  </pic:blipFill>
                  <pic:spPr bwMode="auto">
                    <a:xfrm>
                      <a:off x="0" y="0"/>
                      <a:ext cx="2019300" cy="266700"/>
                    </a:xfrm>
                    <a:prstGeom prst="rect">
                      <a:avLst/>
                    </a:prstGeom>
                    <a:noFill/>
                    <a:ln w="9525">
                      <a:noFill/>
                      <a:miter lim="800000"/>
                      <a:headEnd/>
                      <a:tailEnd/>
                    </a:ln>
                  </pic:spPr>
                </pic:pic>
              </a:graphicData>
            </a:graphic>
          </wp:inline>
        </w:drawing>
      </w:r>
    </w:p>
    <w:p w:rsidR="00F7667C" w:rsidRDefault="00A940F3" w:rsidP="00F7667C">
      <w:pPr>
        <w:rPr>
          <w:rFonts w:asciiTheme="minorHAnsi" w:eastAsiaTheme="minorEastAsia" w:hAnsiTheme="minorHAnsi"/>
          <w:noProof/>
          <w:color w:val="7F7F7F"/>
          <w:sz w:val="20"/>
          <w:szCs w:val="20"/>
        </w:rPr>
      </w:pPr>
      <w:hyperlink r:id="rId9" w:history="1">
        <w:r w:rsidR="00F7667C">
          <w:rPr>
            <w:rStyle w:val="Hyperlink"/>
            <w:rFonts w:eastAsiaTheme="minorEastAsia"/>
            <w:noProof/>
            <w:color w:val="FF6600"/>
            <w:sz w:val="20"/>
          </w:rPr>
          <w:t>www.decorativefilm.com</w:t>
        </w:r>
      </w:hyperlink>
      <w:r w:rsidR="00F7667C">
        <w:rPr>
          <w:rFonts w:eastAsiaTheme="minorEastAsia"/>
          <w:noProof/>
          <w:color w:val="7F7F7F"/>
          <w:sz w:val="20"/>
          <w:szCs w:val="20"/>
        </w:rPr>
        <w:t xml:space="preserve">   </w:t>
      </w:r>
    </w:p>
    <w:p w:rsidR="00F7667C" w:rsidRDefault="00F7667C" w:rsidP="00F7667C">
      <w:pPr>
        <w:rPr>
          <w:rFonts w:eastAsiaTheme="minorEastAsia"/>
          <w:b/>
          <w:noProof/>
          <w:color w:val="808080" w:themeColor="background1" w:themeShade="80"/>
          <w:sz w:val="20"/>
          <w:szCs w:val="20"/>
        </w:rPr>
      </w:pPr>
      <w:r>
        <w:rPr>
          <w:rFonts w:eastAsiaTheme="minorEastAsia"/>
          <w:b/>
          <w:noProof/>
          <w:color w:val="808080" w:themeColor="background1" w:themeShade="80"/>
          <w:sz w:val="20"/>
          <w:szCs w:val="20"/>
        </w:rPr>
        <w:t>Decorative Films, LLC</w:t>
      </w:r>
    </w:p>
    <w:p w:rsidR="00F7667C" w:rsidRDefault="00F7667C" w:rsidP="00F7667C">
      <w:pPr>
        <w:rPr>
          <w:rFonts w:eastAsiaTheme="minorEastAsia"/>
          <w:b/>
          <w:noProof/>
          <w:color w:val="808080" w:themeColor="background1" w:themeShade="80"/>
          <w:sz w:val="20"/>
          <w:szCs w:val="20"/>
        </w:rPr>
      </w:pPr>
      <w:r>
        <w:rPr>
          <w:rFonts w:eastAsiaTheme="minorEastAsia"/>
          <w:b/>
          <w:noProof/>
          <w:color w:val="808080" w:themeColor="background1" w:themeShade="80"/>
          <w:sz w:val="20"/>
          <w:szCs w:val="20"/>
        </w:rPr>
        <w:t>3909 Cornell Place, Frederick, MD 21703  |  USA</w:t>
      </w:r>
    </w:p>
    <w:p w:rsidR="00F7667C" w:rsidRDefault="00F7667C" w:rsidP="00F7667C">
      <w:pPr>
        <w:rPr>
          <w:rFonts w:eastAsiaTheme="minorEastAsia"/>
          <w:noProof/>
          <w:color w:val="FF6600"/>
          <w:sz w:val="20"/>
          <w:szCs w:val="20"/>
        </w:rPr>
      </w:pPr>
      <w:r>
        <w:rPr>
          <w:rFonts w:eastAsiaTheme="minorEastAsia"/>
          <w:noProof/>
          <w:color w:val="FF6600"/>
          <w:sz w:val="20"/>
          <w:szCs w:val="20"/>
        </w:rPr>
        <w:t>T: 888.657.5224  |  F: 240.363.4818</w:t>
      </w:r>
    </w:p>
    <w:p w:rsidR="00F7667C" w:rsidRDefault="00F7667C" w:rsidP="00F7667C">
      <w:pPr>
        <w:rPr>
          <w:rFonts w:ascii="Verdana" w:eastAsiaTheme="minorEastAsia" w:hAnsi="Verdana"/>
          <w:noProof/>
          <w:sz w:val="22"/>
          <w:szCs w:val="22"/>
        </w:rPr>
      </w:pPr>
      <w:r>
        <w:rPr>
          <w:rFonts w:ascii="Engravers MT" w:eastAsiaTheme="minorEastAsia" w:hAnsi="Engravers MT"/>
          <w:b/>
          <w:bCs/>
          <w:noProof/>
          <w:color w:val="000000" w:themeColor="text1"/>
        </w:rPr>
        <w:t>SOLYX</w:t>
      </w:r>
      <w:r>
        <w:rPr>
          <w:rFonts w:ascii="Trebuchet MS" w:eastAsiaTheme="minorEastAsia" w:hAnsi="Trebuchet MS"/>
          <w:b/>
          <w:bCs/>
          <w:noProof/>
          <w:color w:val="000000" w:themeColor="text1"/>
        </w:rPr>
        <w:t>®</w:t>
      </w:r>
      <w:r>
        <w:rPr>
          <w:rFonts w:ascii="Trebuchet MS" w:eastAsiaTheme="minorEastAsia" w:hAnsi="Trebuchet MS"/>
          <w:b/>
          <w:bCs/>
          <w:noProof/>
          <w:color w:val="7F7F7F"/>
        </w:rPr>
        <w:t xml:space="preserve">  </w:t>
      </w:r>
      <w:r>
        <w:rPr>
          <w:rFonts w:ascii="Monotype Corsiva" w:eastAsiaTheme="minorEastAsia" w:hAnsi="Monotype Corsiva"/>
          <w:b/>
          <w:bCs/>
          <w:noProof/>
          <w:color w:val="000000" w:themeColor="text1"/>
        </w:rPr>
        <w:t>SimGlas</w:t>
      </w:r>
      <w:r>
        <w:rPr>
          <w:rFonts w:ascii="Trebuchet MS" w:eastAsiaTheme="minorEastAsia" w:hAnsi="Trebuchet MS"/>
          <w:b/>
          <w:bCs/>
          <w:noProof/>
          <w:color w:val="000000" w:themeColor="text1"/>
        </w:rPr>
        <w:t>®</w:t>
      </w:r>
      <w:r>
        <w:rPr>
          <w:rFonts w:ascii="Trebuchet MS" w:eastAsiaTheme="minorEastAsia" w:hAnsi="Trebuchet MS"/>
          <w:b/>
          <w:bCs/>
          <w:noProof/>
          <w:color w:val="1F497D"/>
          <w:sz w:val="20"/>
          <w:szCs w:val="20"/>
        </w:rPr>
        <w:t>   </w:t>
      </w:r>
      <w:r>
        <w:rPr>
          <w:rFonts w:eastAsiaTheme="minorEastAsia"/>
          <w:noProof/>
          <w:color w:val="1F497D"/>
        </w:rPr>
        <w:drawing>
          <wp:inline distT="0" distB="0" distL="0" distR="0">
            <wp:extent cx="219075" cy="114300"/>
            <wp:effectExtent l="19050" t="0" r="9525" b="0"/>
            <wp:docPr id="2" name="Picture 2" descr="3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mmm"/>
                    <pic:cNvPicPr>
                      <a:picLocks noChangeAspect="1" noChangeArrowheads="1"/>
                    </pic:cNvPicPr>
                  </pic:nvPicPr>
                  <pic:blipFill>
                    <a:blip r:embed="rId10" cstate="print"/>
                    <a:srcRect/>
                    <a:stretch>
                      <a:fillRect/>
                    </a:stretch>
                  </pic:blipFill>
                  <pic:spPr bwMode="auto">
                    <a:xfrm>
                      <a:off x="0" y="0"/>
                      <a:ext cx="219075" cy="114300"/>
                    </a:xfrm>
                    <a:prstGeom prst="rect">
                      <a:avLst/>
                    </a:prstGeom>
                    <a:noFill/>
                    <a:ln w="9525">
                      <a:noFill/>
                      <a:miter lim="800000"/>
                      <a:headEnd/>
                      <a:tailEnd/>
                    </a:ln>
                  </pic:spPr>
                </pic:pic>
              </a:graphicData>
            </a:graphic>
          </wp:inline>
        </w:drawing>
      </w:r>
      <w:r>
        <w:rPr>
          <w:rFonts w:eastAsiaTheme="minorEastAsia"/>
          <w:noProof/>
          <w:color w:val="1F497D"/>
        </w:rPr>
        <w:t xml:space="preserve"> </w:t>
      </w:r>
      <w:r>
        <w:rPr>
          <w:rFonts w:ascii="Verdana" w:eastAsiaTheme="minorEastAsia" w:hAnsi="Verdana"/>
          <w:b/>
          <w:bCs/>
          <w:noProof/>
          <w:color w:val="7F7F7F"/>
          <w:sz w:val="20"/>
          <w:szCs w:val="20"/>
        </w:rPr>
        <w:t>Fasara Glass Finishes</w:t>
      </w:r>
    </w:p>
    <w:p w:rsidR="00F7667C" w:rsidRDefault="00F7667C" w:rsidP="00F7667C">
      <w:pPr>
        <w:rPr>
          <w:rFonts w:ascii="Calibri" w:eastAsiaTheme="minorEastAsia" w:hAnsi="Calibri"/>
          <w:noProof/>
        </w:rPr>
      </w:pPr>
    </w:p>
    <w:p w:rsidR="00BA15F9" w:rsidRDefault="00BA15F9" w:rsidP="00BA15F9">
      <w:pPr>
        <w:pStyle w:val="ARCATTitle"/>
        <w:jc w:val="center"/>
        <w:rPr>
          <w:color w:val="000000"/>
          <w:sz w:val="20"/>
          <w:szCs w:val="20"/>
        </w:rPr>
      </w:pPr>
      <w:r>
        <w:rPr>
          <w:color w:val="000000"/>
          <w:sz w:val="20"/>
          <w:szCs w:val="20"/>
        </w:rPr>
        <w:t xml:space="preserve">ARCHITECTURAL WINDOW FILM </w:t>
      </w:r>
    </w:p>
    <w:p w:rsidR="00BA15F9" w:rsidRDefault="00BA15F9" w:rsidP="00BA15F9">
      <w:pPr>
        <w:pStyle w:val="ARCATnote"/>
        <w:rPr>
          <w:color w:val="000000"/>
          <w:sz w:val="20"/>
          <w:szCs w:val="20"/>
        </w:rPr>
      </w:pPr>
      <w:r>
        <w:rPr>
          <w:color w:val="000000"/>
          <w:sz w:val="20"/>
          <w:szCs w:val="20"/>
        </w:rPr>
        <w:t xml:space="preserve">PART 1 GENERAL </w:t>
      </w:r>
    </w:p>
    <w:p w:rsidR="00BA15F9" w:rsidRDefault="00BA15F9" w:rsidP="00BA15F9">
      <w:pPr>
        <w:pStyle w:val="ARCATArticle"/>
        <w:spacing w:before="200"/>
        <w:ind w:left="576" w:hanging="577"/>
        <w:rPr>
          <w:color w:val="000000"/>
          <w:sz w:val="20"/>
          <w:szCs w:val="20"/>
        </w:rPr>
      </w:pPr>
      <w:r>
        <w:rPr>
          <w:color w:val="000000"/>
          <w:sz w:val="20"/>
          <w:szCs w:val="20"/>
        </w:rPr>
        <w:t xml:space="preserve">1.1 SECTION INCLUDES </w:t>
      </w:r>
    </w:p>
    <w:p w:rsidR="00BA15F9" w:rsidRDefault="00BA15F9" w:rsidP="00BA15F9">
      <w:pPr>
        <w:pStyle w:val="ARCATnote"/>
        <w:rPr>
          <w:color w:val="000000"/>
          <w:sz w:val="20"/>
          <w:szCs w:val="20"/>
        </w:rPr>
      </w:pPr>
      <w:r>
        <w:rPr>
          <w:color w:val="000000"/>
          <w:sz w:val="20"/>
          <w:szCs w:val="20"/>
        </w:rPr>
        <w:t xml:space="preserve">A. Interior Window Film. </w:t>
      </w:r>
    </w:p>
    <w:p w:rsidR="00BA15F9" w:rsidRDefault="00BA15F9" w:rsidP="00BA15F9">
      <w:pPr>
        <w:pStyle w:val="ARCATParagraph"/>
        <w:spacing w:before="200"/>
        <w:ind w:left="1152" w:hanging="577"/>
        <w:rPr>
          <w:color w:val="000000"/>
          <w:sz w:val="20"/>
          <w:szCs w:val="20"/>
        </w:rPr>
      </w:pPr>
      <w:r>
        <w:rPr>
          <w:color w:val="000000"/>
          <w:sz w:val="20"/>
          <w:szCs w:val="20"/>
        </w:rPr>
        <w:t xml:space="preserve">B. Decorative Window Film. </w:t>
      </w:r>
    </w:p>
    <w:p w:rsidR="00BA15F9" w:rsidRDefault="00BA15F9" w:rsidP="00BA15F9">
      <w:pPr>
        <w:pStyle w:val="ARCATParagraph"/>
        <w:spacing w:before="200"/>
        <w:ind w:left="1152" w:hanging="577"/>
        <w:rPr>
          <w:color w:val="000000"/>
          <w:sz w:val="20"/>
          <w:szCs w:val="20"/>
        </w:rPr>
      </w:pPr>
      <w:r>
        <w:rPr>
          <w:color w:val="000000"/>
          <w:sz w:val="20"/>
          <w:szCs w:val="20"/>
        </w:rPr>
        <w:t xml:space="preserve">C. Privacy Window Film. </w:t>
      </w:r>
    </w:p>
    <w:p w:rsidR="00BA15F9" w:rsidRDefault="00BA15F9" w:rsidP="00BA15F9">
      <w:pPr>
        <w:pStyle w:val="ARCATArticle"/>
        <w:spacing w:before="200"/>
        <w:ind w:left="576" w:hanging="577"/>
        <w:rPr>
          <w:color w:val="000000"/>
          <w:sz w:val="20"/>
          <w:szCs w:val="20"/>
        </w:rPr>
      </w:pPr>
      <w:r>
        <w:rPr>
          <w:color w:val="000000"/>
          <w:sz w:val="20"/>
          <w:szCs w:val="20"/>
        </w:rPr>
        <w:t xml:space="preserve">1.2 RELATED SECTIONS </w:t>
      </w:r>
    </w:p>
    <w:p w:rsidR="00BA15F9" w:rsidRDefault="00BA15F9" w:rsidP="00BA15F9">
      <w:pPr>
        <w:pStyle w:val="ARCATnote"/>
        <w:rPr>
          <w:color w:val="000000"/>
          <w:sz w:val="20"/>
          <w:szCs w:val="20"/>
        </w:rPr>
      </w:pPr>
      <w:r>
        <w:rPr>
          <w:color w:val="000000"/>
          <w:sz w:val="20"/>
          <w:szCs w:val="20"/>
        </w:rPr>
        <w:t xml:space="preserve">A. Section 08500 - Windows: Windows to receive architectural window film. </w:t>
      </w:r>
    </w:p>
    <w:p w:rsidR="00BA15F9" w:rsidRDefault="00BA15F9" w:rsidP="00BA15F9">
      <w:pPr>
        <w:pStyle w:val="ARCATParagraph"/>
        <w:spacing w:before="200"/>
        <w:ind w:left="1152" w:hanging="577"/>
        <w:rPr>
          <w:color w:val="000000"/>
          <w:sz w:val="20"/>
          <w:szCs w:val="20"/>
        </w:rPr>
      </w:pPr>
      <w:r>
        <w:rPr>
          <w:color w:val="000000"/>
          <w:sz w:val="20"/>
          <w:szCs w:val="20"/>
        </w:rPr>
        <w:t xml:space="preserve">B. Section 08600 - Skylights: Glass Skylights to receive architectural window film. </w:t>
      </w:r>
    </w:p>
    <w:p w:rsidR="00BA15F9" w:rsidRDefault="00BA15F9" w:rsidP="00BA15F9">
      <w:pPr>
        <w:pStyle w:val="ARCATParagraph"/>
        <w:spacing w:before="200"/>
        <w:ind w:left="1152" w:hanging="577"/>
        <w:rPr>
          <w:color w:val="000000"/>
          <w:sz w:val="20"/>
          <w:szCs w:val="20"/>
        </w:rPr>
      </w:pPr>
      <w:r>
        <w:rPr>
          <w:color w:val="000000"/>
          <w:sz w:val="20"/>
          <w:szCs w:val="20"/>
        </w:rPr>
        <w:t xml:space="preserve">C. Section 08800 - Glazing: General Glazing applications to receive architectural window film. </w:t>
      </w:r>
    </w:p>
    <w:p w:rsidR="00BA15F9" w:rsidRDefault="00BA15F9" w:rsidP="00BA15F9">
      <w:pPr>
        <w:pStyle w:val="ARCATParagraph"/>
        <w:spacing w:before="200"/>
        <w:ind w:left="1152" w:hanging="577"/>
        <w:rPr>
          <w:color w:val="000000"/>
          <w:sz w:val="20"/>
          <w:szCs w:val="20"/>
        </w:rPr>
      </w:pPr>
      <w:r>
        <w:rPr>
          <w:color w:val="000000"/>
          <w:sz w:val="20"/>
          <w:szCs w:val="20"/>
        </w:rPr>
        <w:t xml:space="preserve">D. Section 08900 - Glazed Curtain Walls: Curtain Walls to receive architectural window film. </w:t>
      </w:r>
    </w:p>
    <w:p w:rsidR="00BA15F9" w:rsidRDefault="00BA15F9" w:rsidP="00BA15F9">
      <w:pPr>
        <w:pStyle w:val="ARCATArticle"/>
        <w:spacing w:before="200"/>
        <w:ind w:left="576" w:hanging="577"/>
        <w:rPr>
          <w:color w:val="000000"/>
          <w:sz w:val="20"/>
          <w:szCs w:val="20"/>
        </w:rPr>
      </w:pPr>
      <w:r>
        <w:rPr>
          <w:color w:val="000000"/>
          <w:sz w:val="20"/>
          <w:szCs w:val="20"/>
        </w:rPr>
        <w:t xml:space="preserve">1.3 REFERENCES </w:t>
      </w:r>
    </w:p>
    <w:p w:rsidR="00BA15F9" w:rsidRDefault="00BA15F9" w:rsidP="00BA15F9">
      <w:pPr>
        <w:pStyle w:val="ARCATnote"/>
        <w:rPr>
          <w:color w:val="000000"/>
          <w:sz w:val="20"/>
          <w:szCs w:val="20"/>
        </w:rPr>
      </w:pPr>
      <w:r>
        <w:rPr>
          <w:color w:val="000000"/>
          <w:sz w:val="20"/>
          <w:szCs w:val="20"/>
        </w:rPr>
        <w:t xml:space="preserve">A. ASHRAE - American Society for Heating, Refrigeration, and Air Conditioning Engineers; Handbook of Fundamentals, 1997 Edition. </w:t>
      </w:r>
    </w:p>
    <w:p w:rsidR="00BA15F9" w:rsidRDefault="00BA15F9" w:rsidP="00BA15F9">
      <w:pPr>
        <w:pStyle w:val="ARCATParagraph"/>
        <w:spacing w:before="200"/>
        <w:ind w:left="1152" w:hanging="577"/>
        <w:rPr>
          <w:color w:val="000000"/>
          <w:sz w:val="20"/>
          <w:szCs w:val="20"/>
        </w:rPr>
      </w:pPr>
      <w:r>
        <w:rPr>
          <w:color w:val="000000"/>
          <w:sz w:val="20"/>
          <w:szCs w:val="20"/>
        </w:rPr>
        <w:t xml:space="preserve">B. ASTM E 84 - Standard Method of Test for Surface Burning Characteristics of Building Materials. </w:t>
      </w:r>
    </w:p>
    <w:p w:rsidR="00BA15F9" w:rsidRDefault="00BA15F9" w:rsidP="00BA15F9">
      <w:pPr>
        <w:pStyle w:val="ARCATParagraph"/>
        <w:spacing w:before="200"/>
        <w:ind w:left="1152" w:hanging="577"/>
        <w:rPr>
          <w:color w:val="000000"/>
          <w:sz w:val="20"/>
          <w:szCs w:val="20"/>
        </w:rPr>
      </w:pPr>
      <w:r>
        <w:rPr>
          <w:color w:val="000000"/>
          <w:sz w:val="20"/>
          <w:szCs w:val="20"/>
        </w:rPr>
        <w:t xml:space="preserve">C. ASTM E 308 - Standard Recommended Practice for </w:t>
      </w:r>
      <w:proofErr w:type="spellStart"/>
      <w:r>
        <w:rPr>
          <w:color w:val="000000"/>
          <w:sz w:val="20"/>
          <w:szCs w:val="20"/>
        </w:rPr>
        <w:t>Spectophotometry</w:t>
      </w:r>
      <w:proofErr w:type="spellEnd"/>
      <w:r>
        <w:rPr>
          <w:color w:val="000000"/>
          <w:sz w:val="20"/>
          <w:szCs w:val="20"/>
        </w:rPr>
        <w:t xml:space="preserve"> and Description of Color in CIE 1931 System. </w:t>
      </w:r>
    </w:p>
    <w:p w:rsidR="00BA15F9" w:rsidRDefault="00BA15F9" w:rsidP="00BA15F9">
      <w:pPr>
        <w:pStyle w:val="ARCATParagraph"/>
        <w:spacing w:before="200"/>
        <w:ind w:left="1152" w:hanging="577"/>
        <w:rPr>
          <w:color w:val="000000"/>
          <w:sz w:val="20"/>
          <w:szCs w:val="20"/>
        </w:rPr>
      </w:pPr>
      <w:r>
        <w:rPr>
          <w:color w:val="000000"/>
          <w:sz w:val="20"/>
          <w:szCs w:val="20"/>
        </w:rPr>
        <w:t xml:space="preserve">D. ASTM E 903 - Standard Methods of Test for Solar Absorbance, Reflectance and Transmittance of Materials Using Integrating Spheres. </w:t>
      </w:r>
    </w:p>
    <w:p w:rsidR="00BA15F9" w:rsidRDefault="00BA15F9" w:rsidP="00BA15F9">
      <w:pPr>
        <w:pStyle w:val="ARCATParagraph"/>
        <w:spacing w:before="200"/>
        <w:ind w:left="1152" w:hanging="577"/>
        <w:rPr>
          <w:color w:val="000000"/>
          <w:sz w:val="20"/>
          <w:szCs w:val="20"/>
        </w:rPr>
      </w:pPr>
      <w:r>
        <w:rPr>
          <w:color w:val="000000"/>
          <w:sz w:val="20"/>
          <w:szCs w:val="20"/>
        </w:rPr>
        <w:t xml:space="preserve">E. ASTM G 26 - Standard Practice for Performing Accelerated Outdoor Weatherizing for Non-metallic Materials Using Concentrated Natural Sunlight. </w:t>
      </w:r>
    </w:p>
    <w:p w:rsidR="00BA15F9" w:rsidRDefault="00BA15F9" w:rsidP="00BA15F9">
      <w:pPr>
        <w:pStyle w:val="ARCATArticle"/>
        <w:spacing w:before="200"/>
        <w:ind w:left="576" w:hanging="577"/>
        <w:rPr>
          <w:color w:val="000000"/>
          <w:sz w:val="20"/>
          <w:szCs w:val="20"/>
        </w:rPr>
      </w:pPr>
      <w:r>
        <w:rPr>
          <w:color w:val="000000"/>
          <w:sz w:val="20"/>
          <w:szCs w:val="20"/>
        </w:rPr>
        <w:t xml:space="preserve">1.4 PERFORMANCE REQUIREMENTS </w:t>
      </w:r>
    </w:p>
    <w:p w:rsidR="00BA15F9" w:rsidRDefault="00BA15F9" w:rsidP="00BA15F9">
      <w:pPr>
        <w:pStyle w:val="ARCATParagraph"/>
        <w:spacing w:before="200"/>
        <w:ind w:left="1152" w:hanging="577"/>
        <w:rPr>
          <w:color w:val="000000"/>
          <w:sz w:val="20"/>
          <w:szCs w:val="20"/>
        </w:rPr>
      </w:pPr>
      <w:r>
        <w:rPr>
          <w:color w:val="000000"/>
          <w:sz w:val="20"/>
          <w:szCs w:val="20"/>
        </w:rPr>
        <w:t xml:space="preserve">A. Fire Performance: Surface burning characteristics when tested in accordance ASTM E 84: </w:t>
      </w:r>
    </w:p>
    <w:p w:rsidR="00BA15F9" w:rsidRDefault="00BA15F9" w:rsidP="00BA15F9">
      <w:pPr>
        <w:pStyle w:val="Default"/>
        <w:rPr>
          <w:sz w:val="20"/>
          <w:szCs w:val="20"/>
        </w:rPr>
      </w:pPr>
    </w:p>
    <w:p w:rsidR="00BA15F9" w:rsidRDefault="00BA15F9" w:rsidP="00BA15F9">
      <w:pPr>
        <w:pStyle w:val="ARCATSubPara"/>
        <w:ind w:left="1728" w:hanging="577"/>
        <w:rPr>
          <w:sz w:val="20"/>
          <w:szCs w:val="20"/>
        </w:rPr>
      </w:pPr>
      <w:r>
        <w:rPr>
          <w:sz w:val="20"/>
          <w:szCs w:val="20"/>
        </w:rPr>
        <w:t xml:space="preserve">1. Flame Spread: 25, maximum. </w:t>
      </w:r>
    </w:p>
    <w:p w:rsidR="00BA15F9" w:rsidRDefault="00BA15F9" w:rsidP="00BA15F9">
      <w:pPr>
        <w:pStyle w:val="ARCATSubPara"/>
        <w:ind w:left="1728" w:hanging="577"/>
        <w:rPr>
          <w:sz w:val="20"/>
          <w:szCs w:val="20"/>
        </w:rPr>
      </w:pPr>
      <w:r>
        <w:rPr>
          <w:sz w:val="20"/>
          <w:szCs w:val="20"/>
        </w:rPr>
        <w:t xml:space="preserve">2. Smoke Developed: 450, maximum. </w:t>
      </w:r>
    </w:p>
    <w:p w:rsidR="00BA15F9" w:rsidRDefault="00BA15F9" w:rsidP="00BA15F9">
      <w:pPr>
        <w:pStyle w:val="ARCATArticle"/>
        <w:spacing w:before="200"/>
        <w:ind w:left="576" w:hanging="577"/>
        <w:rPr>
          <w:sz w:val="20"/>
          <w:szCs w:val="20"/>
        </w:rPr>
      </w:pPr>
      <w:r>
        <w:rPr>
          <w:sz w:val="20"/>
          <w:szCs w:val="20"/>
        </w:rPr>
        <w:t xml:space="preserve">1.5 SUBMITTALS </w:t>
      </w:r>
    </w:p>
    <w:p w:rsidR="00BA15F9" w:rsidRDefault="00BA15F9" w:rsidP="00BA15F9">
      <w:pPr>
        <w:pStyle w:val="ARCATParagraph"/>
        <w:spacing w:before="200"/>
        <w:ind w:left="1152" w:hanging="577"/>
        <w:rPr>
          <w:sz w:val="20"/>
          <w:szCs w:val="20"/>
        </w:rPr>
      </w:pPr>
      <w:r>
        <w:rPr>
          <w:sz w:val="20"/>
          <w:szCs w:val="20"/>
        </w:rPr>
        <w:t xml:space="preserve">A. Submit under provisions of Section 01300. </w:t>
      </w:r>
    </w:p>
    <w:p w:rsidR="00BA15F9" w:rsidRDefault="00BA15F9" w:rsidP="00BA15F9">
      <w:pPr>
        <w:pStyle w:val="ARCATParagraph"/>
        <w:spacing w:before="200"/>
        <w:ind w:left="1152" w:hanging="577"/>
        <w:rPr>
          <w:sz w:val="20"/>
          <w:szCs w:val="20"/>
        </w:rPr>
      </w:pPr>
      <w:r>
        <w:rPr>
          <w:sz w:val="20"/>
          <w:szCs w:val="20"/>
        </w:rPr>
        <w:t xml:space="preserve">B. Product Data: Manufacturer's data sheets on each product to be used, including: </w:t>
      </w:r>
    </w:p>
    <w:p w:rsidR="00BA15F9" w:rsidRDefault="00BA15F9" w:rsidP="00BA15F9">
      <w:pPr>
        <w:pStyle w:val="ARCATSubPara"/>
        <w:ind w:left="1728" w:hanging="577"/>
        <w:rPr>
          <w:sz w:val="20"/>
          <w:szCs w:val="20"/>
        </w:rPr>
      </w:pPr>
      <w:r>
        <w:rPr>
          <w:sz w:val="20"/>
          <w:szCs w:val="20"/>
        </w:rPr>
        <w:t xml:space="preserve">1. Preparation instructions and recommendations. </w:t>
      </w:r>
    </w:p>
    <w:p w:rsidR="00BA15F9" w:rsidRDefault="00BA15F9" w:rsidP="00BA15F9">
      <w:pPr>
        <w:pStyle w:val="ARCATSubPara"/>
        <w:ind w:left="1728" w:hanging="577"/>
        <w:rPr>
          <w:sz w:val="20"/>
          <w:szCs w:val="20"/>
        </w:rPr>
      </w:pPr>
      <w:r>
        <w:rPr>
          <w:sz w:val="20"/>
          <w:szCs w:val="20"/>
        </w:rPr>
        <w:t xml:space="preserve">2. Storage and handling requirements and recommendations. </w:t>
      </w:r>
    </w:p>
    <w:p w:rsidR="00BA15F9" w:rsidRDefault="00BA15F9" w:rsidP="00BA15F9">
      <w:pPr>
        <w:pStyle w:val="ARCATSubPara"/>
        <w:ind w:left="1728" w:hanging="577"/>
        <w:rPr>
          <w:sz w:val="20"/>
          <w:szCs w:val="20"/>
        </w:rPr>
      </w:pPr>
      <w:r>
        <w:rPr>
          <w:sz w:val="20"/>
          <w:szCs w:val="20"/>
        </w:rPr>
        <w:t xml:space="preserve">3. Installation methods. </w:t>
      </w:r>
    </w:p>
    <w:p w:rsidR="00BA15F9" w:rsidRDefault="00BA15F9" w:rsidP="00F7667C">
      <w:pPr>
        <w:pStyle w:val="ARCATnote"/>
        <w:ind w:left="575"/>
        <w:rPr>
          <w:sz w:val="20"/>
          <w:szCs w:val="20"/>
        </w:rPr>
      </w:pPr>
      <w:r>
        <w:rPr>
          <w:sz w:val="20"/>
          <w:szCs w:val="20"/>
        </w:rPr>
        <w:lastRenderedPageBreak/>
        <w:t xml:space="preserve">C. Selection Samples: For each finish product specified, two complete sets of color chips </w:t>
      </w:r>
      <w:r w:rsidR="00F7667C">
        <w:rPr>
          <w:sz w:val="20"/>
          <w:szCs w:val="20"/>
        </w:rPr>
        <w:t xml:space="preserve">   </w:t>
      </w:r>
      <w:r>
        <w:rPr>
          <w:sz w:val="20"/>
          <w:szCs w:val="20"/>
        </w:rPr>
        <w:t xml:space="preserve">representing manufacturer's full range of available colors and patterns. </w:t>
      </w:r>
    </w:p>
    <w:p w:rsidR="00BA15F9" w:rsidRDefault="00BA15F9" w:rsidP="00BA15F9">
      <w:pPr>
        <w:pStyle w:val="ARCATParagraph"/>
        <w:spacing w:before="200"/>
        <w:ind w:left="1152" w:hanging="577"/>
        <w:rPr>
          <w:sz w:val="20"/>
          <w:szCs w:val="20"/>
        </w:rPr>
      </w:pPr>
      <w:r>
        <w:rPr>
          <w:sz w:val="20"/>
          <w:szCs w:val="20"/>
        </w:rPr>
        <w:t xml:space="preserve">D. Verification Samples: For each finish product specified, two samples representing actual product, color, and patterns. </w:t>
      </w:r>
    </w:p>
    <w:p w:rsidR="00BA15F9" w:rsidRDefault="00BA15F9" w:rsidP="00BA15F9">
      <w:pPr>
        <w:pStyle w:val="ARCATArticle"/>
        <w:spacing w:before="200"/>
        <w:ind w:left="576" w:hanging="577"/>
        <w:rPr>
          <w:sz w:val="20"/>
          <w:szCs w:val="20"/>
        </w:rPr>
      </w:pPr>
      <w:r>
        <w:rPr>
          <w:sz w:val="20"/>
          <w:szCs w:val="20"/>
        </w:rPr>
        <w:t xml:space="preserve">1.6 QUALITY ASSURANCE </w:t>
      </w:r>
    </w:p>
    <w:p w:rsidR="00BA15F9" w:rsidRDefault="00BA15F9" w:rsidP="00BA15F9">
      <w:pPr>
        <w:pStyle w:val="ARCATParagraph"/>
        <w:spacing w:before="200"/>
        <w:ind w:left="1152" w:hanging="577"/>
        <w:rPr>
          <w:sz w:val="20"/>
          <w:szCs w:val="20"/>
        </w:rPr>
      </w:pPr>
      <w:r>
        <w:rPr>
          <w:sz w:val="20"/>
          <w:szCs w:val="20"/>
        </w:rPr>
        <w:t xml:space="preserve">A. Manufacturer Qualifications: All primary products specified in this section will be supplied by a single manufacturer with a minimum of ten (10) years experience. </w:t>
      </w:r>
    </w:p>
    <w:p w:rsidR="00BA15F9" w:rsidRDefault="00BA15F9" w:rsidP="00BA15F9">
      <w:pPr>
        <w:pStyle w:val="ARCATParagraph"/>
        <w:spacing w:before="200"/>
        <w:ind w:left="1152" w:hanging="577"/>
        <w:rPr>
          <w:sz w:val="20"/>
          <w:szCs w:val="20"/>
        </w:rPr>
      </w:pPr>
      <w:r>
        <w:rPr>
          <w:sz w:val="20"/>
          <w:szCs w:val="20"/>
        </w:rPr>
        <w:t xml:space="preserve">B. Installer Qualifications: All products listed in this section are to be installed by a single installer with a minimum of five (5) years demonstrated experience in installing products of the same type and scope as specified. </w:t>
      </w:r>
    </w:p>
    <w:p w:rsidR="00F7667C" w:rsidRDefault="00F7667C" w:rsidP="00BA15F9">
      <w:pPr>
        <w:pStyle w:val="ARCATnote"/>
        <w:rPr>
          <w:sz w:val="20"/>
          <w:szCs w:val="20"/>
        </w:rPr>
      </w:pPr>
    </w:p>
    <w:p w:rsidR="00BA15F9" w:rsidRDefault="00BA15F9" w:rsidP="00F7667C">
      <w:pPr>
        <w:pStyle w:val="ARCATnote"/>
        <w:ind w:left="575"/>
        <w:rPr>
          <w:sz w:val="20"/>
          <w:szCs w:val="20"/>
        </w:rPr>
      </w:pPr>
      <w:r>
        <w:rPr>
          <w:sz w:val="20"/>
          <w:szCs w:val="20"/>
        </w:rPr>
        <w:t xml:space="preserve">C. Mock-Up: Provide a mock-up for evaluation of surface preparation techniques and application </w:t>
      </w:r>
      <w:r w:rsidR="00F7667C">
        <w:rPr>
          <w:sz w:val="20"/>
          <w:szCs w:val="20"/>
        </w:rPr>
        <w:t xml:space="preserve">   </w:t>
      </w:r>
      <w:r>
        <w:rPr>
          <w:sz w:val="20"/>
          <w:szCs w:val="20"/>
        </w:rPr>
        <w:t xml:space="preserve">workmanship. </w:t>
      </w:r>
    </w:p>
    <w:p w:rsidR="00BA15F9" w:rsidRDefault="00BA15F9" w:rsidP="00BA15F9">
      <w:pPr>
        <w:pStyle w:val="ARCATSubPara"/>
        <w:ind w:left="1728" w:hanging="577"/>
        <w:rPr>
          <w:sz w:val="20"/>
          <w:szCs w:val="20"/>
        </w:rPr>
      </w:pPr>
      <w:r>
        <w:rPr>
          <w:sz w:val="20"/>
          <w:szCs w:val="20"/>
        </w:rPr>
        <w:t xml:space="preserve">1. Finish areas designated by Architect. </w:t>
      </w:r>
    </w:p>
    <w:p w:rsidR="00BA15F9" w:rsidRDefault="00BA15F9" w:rsidP="00BA15F9">
      <w:pPr>
        <w:pStyle w:val="ARCATSubPara"/>
        <w:ind w:left="1728" w:hanging="577"/>
        <w:rPr>
          <w:sz w:val="20"/>
          <w:szCs w:val="20"/>
        </w:rPr>
      </w:pPr>
      <w:r>
        <w:rPr>
          <w:sz w:val="20"/>
          <w:szCs w:val="20"/>
        </w:rPr>
        <w:t xml:space="preserve">2. Do not proceed with remaining work until workmanship, color, and sheen are approved by Architect. </w:t>
      </w:r>
    </w:p>
    <w:p w:rsidR="00BA15F9" w:rsidRDefault="00BA15F9" w:rsidP="00BA15F9">
      <w:pPr>
        <w:pStyle w:val="ARCATSubPara"/>
        <w:ind w:left="1728" w:hanging="577"/>
        <w:rPr>
          <w:sz w:val="20"/>
          <w:szCs w:val="20"/>
        </w:rPr>
      </w:pPr>
      <w:r>
        <w:rPr>
          <w:sz w:val="20"/>
          <w:szCs w:val="20"/>
        </w:rPr>
        <w:t xml:space="preserve">3. Refinish mock-up area as required to produce acceptable work. </w:t>
      </w:r>
    </w:p>
    <w:p w:rsidR="00BA15F9" w:rsidRDefault="00BA15F9" w:rsidP="00BA15F9">
      <w:pPr>
        <w:pStyle w:val="ARCATArticle"/>
        <w:spacing w:before="200"/>
        <w:ind w:left="576" w:hanging="577"/>
        <w:rPr>
          <w:sz w:val="20"/>
          <w:szCs w:val="20"/>
        </w:rPr>
      </w:pPr>
      <w:r>
        <w:rPr>
          <w:sz w:val="20"/>
          <w:szCs w:val="20"/>
        </w:rPr>
        <w:t xml:space="preserve">1.7 DELIVERY, STORAGE, AND HANDLING </w:t>
      </w:r>
    </w:p>
    <w:p w:rsidR="00BA15F9" w:rsidRDefault="00BA15F9" w:rsidP="00BA15F9">
      <w:pPr>
        <w:pStyle w:val="ARCATParagraph"/>
        <w:spacing w:before="200"/>
        <w:ind w:left="1152" w:hanging="577"/>
        <w:rPr>
          <w:sz w:val="20"/>
          <w:szCs w:val="20"/>
        </w:rPr>
      </w:pPr>
      <w:r>
        <w:rPr>
          <w:sz w:val="20"/>
          <w:szCs w:val="20"/>
        </w:rPr>
        <w:t xml:space="preserve">A. Store products in manufacturer's unopened packaging until ready for installation. </w:t>
      </w:r>
    </w:p>
    <w:p w:rsidR="00BA15F9" w:rsidRDefault="00BA15F9" w:rsidP="00BA15F9">
      <w:pPr>
        <w:pStyle w:val="ARCATParagraph"/>
        <w:spacing w:before="200"/>
        <w:ind w:left="1152" w:hanging="577"/>
        <w:rPr>
          <w:sz w:val="20"/>
          <w:szCs w:val="20"/>
        </w:rPr>
      </w:pPr>
      <w:r>
        <w:rPr>
          <w:sz w:val="20"/>
          <w:szCs w:val="20"/>
        </w:rPr>
        <w:t xml:space="preserve">B. Store and dispose of hazardous materials, and materials contaminated by hazardous materials, in accordance with requirements of local authorities having jurisdiction. </w:t>
      </w:r>
    </w:p>
    <w:p w:rsidR="00BA15F9" w:rsidRDefault="00BA15F9" w:rsidP="00BA15F9">
      <w:pPr>
        <w:pStyle w:val="ARCATArticle"/>
        <w:spacing w:before="200"/>
        <w:ind w:left="576" w:hanging="577"/>
        <w:rPr>
          <w:sz w:val="20"/>
          <w:szCs w:val="20"/>
        </w:rPr>
      </w:pPr>
      <w:r>
        <w:rPr>
          <w:sz w:val="20"/>
          <w:szCs w:val="20"/>
        </w:rPr>
        <w:t xml:space="preserve">1.8 PROJECT CONDITIONS </w:t>
      </w:r>
    </w:p>
    <w:p w:rsidR="00BA15F9" w:rsidRDefault="00BA15F9" w:rsidP="00BA15F9">
      <w:pPr>
        <w:pStyle w:val="ARCATParagraph"/>
        <w:spacing w:before="200"/>
        <w:ind w:left="1152" w:hanging="577"/>
        <w:rPr>
          <w:sz w:val="20"/>
          <w:szCs w:val="20"/>
        </w:rPr>
      </w:pPr>
      <w:r>
        <w:rPr>
          <w:sz w:val="20"/>
          <w:szCs w:val="20"/>
        </w:rPr>
        <w:t xml:space="preserve">A. Maintain environmental conditions (temperature, humidity, and ventilation) within limits recommended by manufacturer for optimum results. Do not install products under environmental conditions outside manufacturer's absolute limits. </w:t>
      </w:r>
    </w:p>
    <w:p w:rsidR="00BA15F9" w:rsidRDefault="00BA15F9" w:rsidP="00BA15F9">
      <w:pPr>
        <w:pStyle w:val="ARCATArticle"/>
        <w:spacing w:before="200"/>
        <w:ind w:left="576" w:hanging="577"/>
        <w:rPr>
          <w:sz w:val="20"/>
          <w:szCs w:val="20"/>
        </w:rPr>
      </w:pPr>
      <w:r>
        <w:rPr>
          <w:sz w:val="20"/>
          <w:szCs w:val="20"/>
        </w:rPr>
        <w:t xml:space="preserve">1.9 WARRANTY </w:t>
      </w:r>
    </w:p>
    <w:p w:rsidR="00BA15F9" w:rsidRDefault="00BA15F9" w:rsidP="00BA15F9">
      <w:pPr>
        <w:pStyle w:val="ARCATParagraph"/>
        <w:spacing w:before="200"/>
        <w:ind w:left="1152" w:hanging="577"/>
        <w:rPr>
          <w:sz w:val="20"/>
          <w:szCs w:val="20"/>
        </w:rPr>
      </w:pPr>
      <w:r>
        <w:rPr>
          <w:sz w:val="20"/>
          <w:szCs w:val="20"/>
        </w:rPr>
        <w:t xml:space="preserve">A. At project closeout, provide to Owner or Owners Representative an executed current copy of the manufacturer's standard limited warranty against manufacturing defect, outlining its terms, conditions, and exclusions from coverage. </w:t>
      </w:r>
    </w:p>
    <w:p w:rsidR="00F7667C" w:rsidRDefault="00F7667C" w:rsidP="00BA15F9">
      <w:pPr>
        <w:pStyle w:val="ARCATPart"/>
        <w:spacing w:before="200"/>
        <w:ind w:left="576" w:hanging="577"/>
        <w:rPr>
          <w:sz w:val="20"/>
          <w:szCs w:val="20"/>
        </w:rPr>
      </w:pPr>
    </w:p>
    <w:p w:rsidR="00BA15F9" w:rsidRDefault="00BA15F9" w:rsidP="00BA15F9">
      <w:pPr>
        <w:pStyle w:val="ARCATPart"/>
        <w:spacing w:before="200"/>
        <w:ind w:left="576" w:hanging="577"/>
        <w:rPr>
          <w:sz w:val="20"/>
          <w:szCs w:val="20"/>
        </w:rPr>
      </w:pPr>
      <w:r>
        <w:rPr>
          <w:sz w:val="20"/>
          <w:szCs w:val="20"/>
        </w:rPr>
        <w:t xml:space="preserve">PART 2 PRODUCTS </w:t>
      </w:r>
    </w:p>
    <w:p w:rsidR="00F7667C" w:rsidRDefault="00F7667C" w:rsidP="00BA15F9">
      <w:pPr>
        <w:pStyle w:val="ARCATArticle"/>
        <w:spacing w:before="200"/>
        <w:ind w:left="576" w:hanging="577"/>
        <w:rPr>
          <w:sz w:val="20"/>
          <w:szCs w:val="20"/>
        </w:rPr>
      </w:pPr>
    </w:p>
    <w:p w:rsidR="00BA15F9" w:rsidRDefault="00BA15F9" w:rsidP="00BA15F9">
      <w:pPr>
        <w:pStyle w:val="ARCATArticle"/>
        <w:spacing w:before="200"/>
        <w:ind w:left="576" w:hanging="577"/>
        <w:rPr>
          <w:sz w:val="20"/>
          <w:szCs w:val="20"/>
        </w:rPr>
      </w:pPr>
      <w:r>
        <w:rPr>
          <w:sz w:val="20"/>
          <w:szCs w:val="20"/>
        </w:rPr>
        <w:t xml:space="preserve">2.1 MANUFACTURERS </w:t>
      </w:r>
    </w:p>
    <w:p w:rsidR="00671FC2" w:rsidRDefault="00BA15F9" w:rsidP="00BA15F9">
      <w:pPr>
        <w:pStyle w:val="ARCATParagraph"/>
        <w:spacing w:before="200"/>
        <w:ind w:left="1152" w:hanging="577"/>
        <w:rPr>
          <w:sz w:val="20"/>
          <w:szCs w:val="20"/>
        </w:rPr>
      </w:pPr>
      <w:r>
        <w:rPr>
          <w:sz w:val="20"/>
          <w:szCs w:val="20"/>
        </w:rPr>
        <w:t xml:space="preserve">A. Acceptable Manufacturer: </w:t>
      </w:r>
      <w:r w:rsidR="00F7667C">
        <w:rPr>
          <w:sz w:val="20"/>
          <w:szCs w:val="20"/>
        </w:rPr>
        <w:t>Decorative Films, LLC</w:t>
      </w:r>
      <w:r>
        <w:rPr>
          <w:sz w:val="20"/>
          <w:szCs w:val="20"/>
        </w:rPr>
        <w:t xml:space="preserve"> </w:t>
      </w:r>
    </w:p>
    <w:p w:rsidR="00671FC2" w:rsidRDefault="00671FC2" w:rsidP="00BA15F9">
      <w:pPr>
        <w:pStyle w:val="ARCATnote"/>
        <w:rPr>
          <w:sz w:val="20"/>
          <w:szCs w:val="20"/>
        </w:rPr>
      </w:pPr>
    </w:p>
    <w:p w:rsidR="00BA15F9" w:rsidRDefault="00BA15F9" w:rsidP="00BA15F9">
      <w:pPr>
        <w:pStyle w:val="ARCATnote"/>
        <w:rPr>
          <w:sz w:val="20"/>
          <w:szCs w:val="20"/>
        </w:rPr>
      </w:pPr>
      <w:r>
        <w:rPr>
          <w:sz w:val="20"/>
          <w:szCs w:val="20"/>
        </w:rPr>
        <w:t xml:space="preserve">B. Substitutions: Not permitted. </w:t>
      </w:r>
    </w:p>
    <w:p w:rsidR="00BA15F9" w:rsidRDefault="00BA15F9" w:rsidP="00BA15F9">
      <w:pPr>
        <w:pStyle w:val="ARCATParagraph"/>
        <w:spacing w:before="200"/>
        <w:ind w:left="1152" w:hanging="577"/>
        <w:rPr>
          <w:sz w:val="20"/>
          <w:szCs w:val="20"/>
        </w:rPr>
      </w:pPr>
      <w:r>
        <w:rPr>
          <w:sz w:val="20"/>
          <w:szCs w:val="20"/>
        </w:rPr>
        <w:t xml:space="preserve">C. Requests for substitutions will be considered in accordance with provisions of Section 01600. </w:t>
      </w:r>
    </w:p>
    <w:p w:rsidR="00671FC2" w:rsidRDefault="00671FC2" w:rsidP="00671FC2">
      <w:pPr>
        <w:pStyle w:val="Default"/>
      </w:pPr>
    </w:p>
    <w:p w:rsidR="00F7667C" w:rsidRPr="00671FC2" w:rsidRDefault="00F7667C" w:rsidP="00671FC2">
      <w:pPr>
        <w:pStyle w:val="Default"/>
      </w:pPr>
    </w:p>
    <w:p w:rsidR="00F7667C" w:rsidRDefault="00F7667C" w:rsidP="00BA15F9">
      <w:pPr>
        <w:pStyle w:val="ARCATnote"/>
        <w:rPr>
          <w:sz w:val="20"/>
          <w:szCs w:val="20"/>
        </w:rPr>
      </w:pPr>
    </w:p>
    <w:p w:rsidR="00F7667C" w:rsidRDefault="00F7667C" w:rsidP="00BA15F9">
      <w:pPr>
        <w:pStyle w:val="ARCATnote"/>
        <w:rPr>
          <w:sz w:val="20"/>
          <w:szCs w:val="20"/>
        </w:rPr>
      </w:pPr>
    </w:p>
    <w:p w:rsidR="00F7667C" w:rsidRDefault="00F7667C" w:rsidP="00BA15F9">
      <w:pPr>
        <w:pStyle w:val="ARCATnote"/>
        <w:rPr>
          <w:sz w:val="20"/>
          <w:szCs w:val="20"/>
        </w:rPr>
      </w:pPr>
    </w:p>
    <w:p w:rsidR="00BA15F9" w:rsidRDefault="00BA15F9" w:rsidP="00BA15F9">
      <w:pPr>
        <w:pStyle w:val="ARCATnote"/>
        <w:rPr>
          <w:sz w:val="20"/>
          <w:szCs w:val="20"/>
        </w:rPr>
      </w:pPr>
      <w:r>
        <w:rPr>
          <w:sz w:val="20"/>
          <w:szCs w:val="20"/>
        </w:rPr>
        <w:t xml:space="preserve">2.2 </w:t>
      </w:r>
      <w:r w:rsidR="00F7667C">
        <w:rPr>
          <w:sz w:val="20"/>
          <w:szCs w:val="20"/>
        </w:rPr>
        <w:t>SOLYX</w:t>
      </w:r>
      <w:r>
        <w:rPr>
          <w:sz w:val="20"/>
          <w:szCs w:val="20"/>
        </w:rPr>
        <w:t xml:space="preserve"> FILM</w:t>
      </w:r>
      <w:r w:rsidR="00F7667C">
        <w:rPr>
          <w:sz w:val="20"/>
          <w:szCs w:val="20"/>
        </w:rPr>
        <w:t>S</w:t>
      </w:r>
      <w:r>
        <w:rPr>
          <w:sz w:val="20"/>
          <w:szCs w:val="20"/>
        </w:rPr>
        <w:t xml:space="preserve"> </w:t>
      </w:r>
    </w:p>
    <w:p w:rsidR="00671FC2" w:rsidRDefault="00F7667C" w:rsidP="00BA15F9">
      <w:pPr>
        <w:pStyle w:val="ARCATPart"/>
        <w:spacing w:before="200"/>
        <w:ind w:left="576" w:hanging="577"/>
        <w:rPr>
          <w:sz w:val="20"/>
          <w:szCs w:val="20"/>
        </w:rPr>
      </w:pPr>
      <w:r>
        <w:rPr>
          <w:sz w:val="20"/>
          <w:szCs w:val="20"/>
        </w:rPr>
        <w:tab/>
        <w:t xml:space="preserve"> </w:t>
      </w:r>
    </w:p>
    <w:tbl>
      <w:tblPr>
        <w:tblStyle w:val="TableGrid"/>
        <w:tblW w:w="53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tblGrid>
      <w:tr w:rsidR="00F7667C" w:rsidRPr="00FE71E8" w:rsidTr="0020512C">
        <w:trPr>
          <w:trHeight w:val="495"/>
        </w:trPr>
        <w:tc>
          <w:tcPr>
            <w:tcW w:w="5364" w:type="dxa"/>
            <w:tcBorders>
              <w:top w:val="single" w:sz="18" w:space="0" w:color="E54809"/>
            </w:tcBorders>
            <w:vAlign w:val="center"/>
          </w:tcPr>
          <w:p w:rsidR="00F7667C" w:rsidRPr="00FE71E8" w:rsidRDefault="00F7667C" w:rsidP="0020512C">
            <w:pPr>
              <w:rPr>
                <w:b/>
              </w:rPr>
            </w:pPr>
            <w:r w:rsidRPr="00590476">
              <w:rPr>
                <w:b/>
              </w:rPr>
              <w:t>Product Description</w:t>
            </w:r>
          </w:p>
        </w:tc>
      </w:tr>
      <w:tr w:rsidR="00F7667C" w:rsidTr="00A940F3">
        <w:trPr>
          <w:trHeight w:val="3708"/>
        </w:trPr>
        <w:tc>
          <w:tcPr>
            <w:tcW w:w="5364" w:type="dxa"/>
          </w:tcPr>
          <w:p w:rsidR="00F7667C" w:rsidRDefault="00F7667C" w:rsidP="0020512C">
            <w:pPr>
              <w:pStyle w:val="Default"/>
            </w:pPr>
          </w:p>
        </w:tc>
      </w:tr>
    </w:tbl>
    <w:p w:rsidR="00F7667C" w:rsidRPr="00F7667C" w:rsidRDefault="00F7667C" w:rsidP="00F7667C">
      <w:pPr>
        <w:pStyle w:val="Default"/>
      </w:pPr>
    </w:p>
    <w:p w:rsidR="00BA15F9" w:rsidRDefault="00671FC2" w:rsidP="00BA15F9">
      <w:pPr>
        <w:pStyle w:val="ARCATPart"/>
        <w:spacing w:before="200"/>
        <w:ind w:left="576" w:hanging="577"/>
        <w:rPr>
          <w:sz w:val="20"/>
          <w:szCs w:val="20"/>
        </w:rPr>
      </w:pPr>
      <w:r>
        <w:rPr>
          <w:sz w:val="20"/>
          <w:szCs w:val="20"/>
        </w:rPr>
        <w:t>PA</w:t>
      </w:r>
      <w:r w:rsidR="00BA15F9">
        <w:rPr>
          <w:sz w:val="20"/>
          <w:szCs w:val="20"/>
        </w:rPr>
        <w:t xml:space="preserve">RT 3 EXECUTION </w:t>
      </w:r>
    </w:p>
    <w:p w:rsidR="00BA15F9" w:rsidRDefault="00BA15F9" w:rsidP="00BA15F9">
      <w:pPr>
        <w:pStyle w:val="ARCATArticle"/>
        <w:spacing w:before="200"/>
        <w:ind w:left="576" w:hanging="577"/>
        <w:rPr>
          <w:sz w:val="20"/>
          <w:szCs w:val="20"/>
        </w:rPr>
      </w:pPr>
      <w:r>
        <w:rPr>
          <w:sz w:val="20"/>
          <w:szCs w:val="20"/>
        </w:rPr>
        <w:t xml:space="preserve">3.1 EXAMINATION </w:t>
      </w:r>
    </w:p>
    <w:p w:rsidR="00BA15F9" w:rsidRDefault="00BA15F9" w:rsidP="00BA15F9">
      <w:pPr>
        <w:pStyle w:val="ARCATParagraph"/>
        <w:spacing w:before="200"/>
        <w:ind w:left="1152" w:hanging="577"/>
        <w:rPr>
          <w:sz w:val="20"/>
          <w:szCs w:val="20"/>
        </w:rPr>
      </w:pPr>
      <w:r>
        <w:rPr>
          <w:sz w:val="20"/>
          <w:szCs w:val="20"/>
        </w:rPr>
        <w:t xml:space="preserve">A. Do not begin installation until substrates have been properly prepared. </w:t>
      </w:r>
    </w:p>
    <w:p w:rsidR="00BA15F9" w:rsidRDefault="00BA15F9" w:rsidP="00BA15F9">
      <w:pPr>
        <w:pStyle w:val="ARCATParagraph"/>
        <w:spacing w:before="200"/>
        <w:ind w:left="1152" w:hanging="577"/>
        <w:rPr>
          <w:sz w:val="20"/>
          <w:szCs w:val="20"/>
        </w:rPr>
      </w:pPr>
      <w:r>
        <w:rPr>
          <w:sz w:val="20"/>
          <w:szCs w:val="20"/>
        </w:rPr>
        <w:t xml:space="preserve">B. If substrate preparation is the responsibility of another </w:t>
      </w:r>
      <w:r w:rsidR="00F7667C">
        <w:rPr>
          <w:sz w:val="20"/>
          <w:szCs w:val="20"/>
        </w:rPr>
        <w:t>installer;</w:t>
      </w:r>
      <w:r>
        <w:rPr>
          <w:sz w:val="20"/>
          <w:szCs w:val="20"/>
        </w:rPr>
        <w:t xml:space="preserve"> notify Architect of unsatisfactory preparation before proceeding. </w:t>
      </w:r>
    </w:p>
    <w:p w:rsidR="00BA15F9" w:rsidRDefault="00BA15F9" w:rsidP="00BA15F9">
      <w:pPr>
        <w:pStyle w:val="ARCATArticle"/>
        <w:spacing w:before="200"/>
        <w:ind w:left="576" w:hanging="577"/>
        <w:rPr>
          <w:sz w:val="20"/>
          <w:szCs w:val="20"/>
        </w:rPr>
      </w:pPr>
      <w:r>
        <w:rPr>
          <w:sz w:val="20"/>
          <w:szCs w:val="20"/>
        </w:rPr>
        <w:t xml:space="preserve">3.2 PREPARATION </w:t>
      </w:r>
    </w:p>
    <w:p w:rsidR="00BA15F9" w:rsidRDefault="00BA15F9" w:rsidP="00BA15F9">
      <w:pPr>
        <w:pStyle w:val="ARCATParagraph"/>
        <w:spacing w:before="200"/>
        <w:ind w:left="1152" w:hanging="577"/>
        <w:rPr>
          <w:sz w:val="20"/>
          <w:szCs w:val="20"/>
        </w:rPr>
      </w:pPr>
      <w:r>
        <w:rPr>
          <w:sz w:val="20"/>
          <w:szCs w:val="20"/>
        </w:rPr>
        <w:t xml:space="preserve">A. Clean surfaces thoroughly prior to installation. </w:t>
      </w:r>
    </w:p>
    <w:p w:rsidR="00BA15F9" w:rsidRDefault="00BA15F9" w:rsidP="00BA15F9">
      <w:pPr>
        <w:pStyle w:val="Default"/>
        <w:rPr>
          <w:color w:val="auto"/>
          <w:sz w:val="20"/>
          <w:szCs w:val="20"/>
        </w:rPr>
      </w:pPr>
    </w:p>
    <w:p w:rsidR="00BA15F9" w:rsidRDefault="00BA15F9" w:rsidP="00BA15F9">
      <w:pPr>
        <w:pStyle w:val="ARCATParagraph"/>
        <w:spacing w:before="200"/>
        <w:ind w:left="1152" w:hanging="577"/>
        <w:rPr>
          <w:sz w:val="20"/>
          <w:szCs w:val="20"/>
        </w:rPr>
      </w:pPr>
      <w:r>
        <w:rPr>
          <w:sz w:val="20"/>
          <w:szCs w:val="20"/>
        </w:rPr>
        <w:t xml:space="preserve">B. Prepare surfaces using the methods recommended by the manufacturer for achieving the best result for the substrate under the project conditions. </w:t>
      </w:r>
    </w:p>
    <w:p w:rsidR="00F7667C" w:rsidRDefault="00F7667C" w:rsidP="00BA15F9">
      <w:pPr>
        <w:pStyle w:val="ARCATArticle"/>
        <w:spacing w:before="200"/>
        <w:ind w:left="576" w:hanging="577"/>
        <w:rPr>
          <w:sz w:val="20"/>
          <w:szCs w:val="20"/>
        </w:rPr>
      </w:pPr>
    </w:p>
    <w:p w:rsidR="00BA15F9" w:rsidRDefault="00BA15F9" w:rsidP="00BA15F9">
      <w:pPr>
        <w:pStyle w:val="ARCATArticle"/>
        <w:spacing w:before="200"/>
        <w:ind w:left="576" w:hanging="577"/>
        <w:rPr>
          <w:sz w:val="20"/>
          <w:szCs w:val="20"/>
        </w:rPr>
      </w:pPr>
      <w:r>
        <w:rPr>
          <w:sz w:val="20"/>
          <w:szCs w:val="20"/>
        </w:rPr>
        <w:t xml:space="preserve">3.3 INSTALLATION </w:t>
      </w:r>
    </w:p>
    <w:p w:rsidR="00BA15F9" w:rsidRDefault="00BA15F9" w:rsidP="00BA15F9">
      <w:pPr>
        <w:pStyle w:val="ARCATParagraph"/>
        <w:spacing w:before="200"/>
        <w:ind w:left="1152" w:hanging="577"/>
        <w:rPr>
          <w:sz w:val="20"/>
          <w:szCs w:val="20"/>
        </w:rPr>
      </w:pPr>
      <w:r>
        <w:rPr>
          <w:sz w:val="20"/>
          <w:szCs w:val="20"/>
        </w:rPr>
        <w:t xml:space="preserve">A. Install in accordance with manufacturer's instructions. </w:t>
      </w:r>
    </w:p>
    <w:p w:rsidR="00BA15F9" w:rsidRDefault="00BA15F9" w:rsidP="00BA15F9">
      <w:pPr>
        <w:pStyle w:val="ARCATParagraph"/>
        <w:spacing w:before="200"/>
        <w:ind w:left="1152" w:hanging="577"/>
        <w:rPr>
          <w:sz w:val="20"/>
          <w:szCs w:val="20"/>
        </w:rPr>
      </w:pPr>
      <w:r>
        <w:rPr>
          <w:sz w:val="20"/>
          <w:szCs w:val="20"/>
        </w:rPr>
        <w:t xml:space="preserve">B. Cut film edges neatly and square at a uniform distance of 1/8 inch (3 mm) to 1/16 inch (1.5 mm) of window sealant. Use new blade tips after 3 to 4 cuts. </w:t>
      </w:r>
    </w:p>
    <w:p w:rsidR="00BA15F9" w:rsidRDefault="00BA15F9" w:rsidP="00BA15F9">
      <w:pPr>
        <w:pStyle w:val="ARCATParagraph"/>
        <w:spacing w:before="200"/>
        <w:ind w:left="1152" w:hanging="577"/>
        <w:rPr>
          <w:sz w:val="20"/>
          <w:szCs w:val="20"/>
        </w:rPr>
      </w:pPr>
      <w:r>
        <w:rPr>
          <w:sz w:val="20"/>
          <w:szCs w:val="20"/>
        </w:rPr>
        <w:t xml:space="preserve">C. Spray the slip </w:t>
      </w:r>
      <w:r w:rsidR="00F7667C">
        <w:rPr>
          <w:sz w:val="20"/>
          <w:szCs w:val="20"/>
        </w:rPr>
        <w:t>solution</w:t>
      </w:r>
      <w:r>
        <w:rPr>
          <w:sz w:val="20"/>
          <w:szCs w:val="20"/>
        </w:rPr>
        <w:t xml:space="preserve"> composed of one capful of baby shampoo or dishwashing liquid to 1 gallon of water, on window glass and adhesive to facilitate proper positioning of film. </w:t>
      </w:r>
    </w:p>
    <w:p w:rsidR="00BA15F9" w:rsidRDefault="00BA15F9" w:rsidP="00BA15F9">
      <w:pPr>
        <w:pStyle w:val="ARCATParagraph"/>
        <w:spacing w:before="200"/>
        <w:ind w:left="1152" w:hanging="577"/>
        <w:rPr>
          <w:sz w:val="20"/>
          <w:szCs w:val="20"/>
        </w:rPr>
      </w:pPr>
      <w:r>
        <w:rPr>
          <w:sz w:val="20"/>
          <w:szCs w:val="20"/>
        </w:rPr>
        <w:t xml:space="preserve">D. Apply film to glass and lightly spray film with slip solution. </w:t>
      </w:r>
    </w:p>
    <w:p w:rsidR="00BA15F9" w:rsidRDefault="00BA15F9" w:rsidP="00BA15F9">
      <w:pPr>
        <w:pStyle w:val="ARCATParagraph"/>
        <w:spacing w:before="200"/>
        <w:ind w:left="1152" w:hanging="577"/>
        <w:rPr>
          <w:sz w:val="20"/>
          <w:szCs w:val="20"/>
        </w:rPr>
      </w:pPr>
      <w:r>
        <w:rPr>
          <w:sz w:val="20"/>
          <w:szCs w:val="20"/>
        </w:rPr>
        <w:t xml:space="preserve">E. Squeegee from top to bottom of window. Spray slip solution to film and squeegee a second time. </w:t>
      </w:r>
    </w:p>
    <w:p w:rsidR="00BA15F9" w:rsidRDefault="00BA15F9" w:rsidP="00BA15F9">
      <w:pPr>
        <w:pStyle w:val="ARCATParagraph"/>
        <w:spacing w:before="200"/>
        <w:ind w:left="1152" w:hanging="577"/>
        <w:rPr>
          <w:sz w:val="20"/>
          <w:szCs w:val="20"/>
        </w:rPr>
      </w:pPr>
      <w:r>
        <w:rPr>
          <w:sz w:val="20"/>
          <w:szCs w:val="20"/>
        </w:rPr>
        <w:lastRenderedPageBreak/>
        <w:t xml:space="preserve">F. Bump film edge with lint-free towel wrapped around edge of a 5-way tool. </w:t>
      </w:r>
    </w:p>
    <w:p w:rsidR="00BA15F9" w:rsidRDefault="00BA15F9" w:rsidP="00BA15F9">
      <w:pPr>
        <w:pStyle w:val="ARCATParagraph"/>
        <w:spacing w:before="200"/>
        <w:ind w:left="1152" w:hanging="577"/>
        <w:rPr>
          <w:sz w:val="20"/>
          <w:szCs w:val="20"/>
        </w:rPr>
      </w:pPr>
      <w:r>
        <w:rPr>
          <w:sz w:val="20"/>
          <w:szCs w:val="20"/>
        </w:rPr>
        <w:t xml:space="preserve">G. Upon completion of film application, allow 30 days for moisture from film installation to dry thoroughly, and to allow film to dry flat with no moisture dimples when viewed under normal viewing conditions. </w:t>
      </w:r>
    </w:p>
    <w:p w:rsidR="00BA15F9" w:rsidRDefault="00BA15F9" w:rsidP="00BA15F9">
      <w:pPr>
        <w:pStyle w:val="ARCATArticle"/>
        <w:spacing w:before="200"/>
        <w:ind w:left="576" w:hanging="577"/>
        <w:rPr>
          <w:sz w:val="20"/>
          <w:szCs w:val="20"/>
        </w:rPr>
      </w:pPr>
      <w:r>
        <w:rPr>
          <w:sz w:val="20"/>
          <w:szCs w:val="20"/>
        </w:rPr>
        <w:t xml:space="preserve">3.4 CLEANING AND PROTECTION </w:t>
      </w:r>
    </w:p>
    <w:p w:rsidR="00BA15F9" w:rsidRDefault="00BA15F9" w:rsidP="00BA15F9">
      <w:pPr>
        <w:pStyle w:val="ARCATParagraph"/>
        <w:spacing w:before="200"/>
        <w:ind w:left="1152" w:hanging="577"/>
        <w:rPr>
          <w:sz w:val="20"/>
          <w:szCs w:val="20"/>
        </w:rPr>
      </w:pPr>
      <w:r>
        <w:rPr>
          <w:sz w:val="20"/>
          <w:szCs w:val="20"/>
        </w:rPr>
        <w:t xml:space="preserve">A. Remove left over material and debris from Work area. Use necessary means to protect film before, during, and after installation. </w:t>
      </w:r>
    </w:p>
    <w:p w:rsidR="00BA15F9" w:rsidRDefault="00BA15F9" w:rsidP="00BA15F9">
      <w:pPr>
        <w:pStyle w:val="ARCATParagraph"/>
        <w:spacing w:before="200"/>
        <w:ind w:left="1152" w:hanging="577"/>
        <w:rPr>
          <w:sz w:val="20"/>
          <w:szCs w:val="20"/>
        </w:rPr>
      </w:pPr>
      <w:r>
        <w:rPr>
          <w:sz w:val="20"/>
          <w:szCs w:val="20"/>
        </w:rPr>
        <w:t xml:space="preserve">B. Touch-up, repair or replace damaged products before Substantial Completion. </w:t>
      </w:r>
    </w:p>
    <w:p w:rsidR="00671FC2" w:rsidRDefault="00BA15F9" w:rsidP="00F7667C">
      <w:pPr>
        <w:pStyle w:val="ARCATParagraph"/>
        <w:spacing w:before="200"/>
        <w:ind w:left="1152" w:hanging="577"/>
      </w:pPr>
      <w:r>
        <w:rPr>
          <w:sz w:val="20"/>
          <w:szCs w:val="20"/>
        </w:rPr>
        <w:t xml:space="preserve">C. After application of film, wash film using common window cleaning solutions, including ammonia solutions, 30 days after application. Do not use abrasive type cleaning agents and bristle brushes to avoid scratching film. Use synthetic sponges or soft cloths. </w:t>
      </w:r>
    </w:p>
    <w:sectPr w:rsidR="00671FC2" w:rsidSect="00C9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F9"/>
    <w:rsid w:val="002E3E71"/>
    <w:rsid w:val="00671FC2"/>
    <w:rsid w:val="00A940F3"/>
    <w:rsid w:val="00BA15F9"/>
    <w:rsid w:val="00C9653E"/>
    <w:rsid w:val="00D828E5"/>
    <w:rsid w:val="00EE5AC5"/>
    <w:rsid w:val="00F7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D6D24-B246-4577-8A56-F08BC3BC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F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5F9"/>
    <w:pPr>
      <w:autoSpaceDE w:val="0"/>
      <w:autoSpaceDN w:val="0"/>
      <w:adjustRightInd w:val="0"/>
      <w:spacing w:after="0" w:line="240" w:lineRule="auto"/>
    </w:pPr>
    <w:rPr>
      <w:rFonts w:ascii="Arial" w:hAnsi="Arial" w:cs="Arial"/>
      <w:color w:val="000000"/>
      <w:sz w:val="24"/>
      <w:szCs w:val="24"/>
    </w:rPr>
  </w:style>
  <w:style w:type="paragraph" w:customStyle="1" w:styleId="ARCATTitle">
    <w:name w:val="ARCAT Title"/>
    <w:basedOn w:val="Default"/>
    <w:next w:val="Default"/>
    <w:uiPriority w:val="99"/>
    <w:rsid w:val="00BA15F9"/>
    <w:rPr>
      <w:color w:val="auto"/>
    </w:rPr>
  </w:style>
  <w:style w:type="paragraph" w:customStyle="1" w:styleId="ARCATnote">
    <w:name w:val="ARCAT note"/>
    <w:basedOn w:val="Default"/>
    <w:next w:val="Default"/>
    <w:uiPriority w:val="99"/>
    <w:rsid w:val="00BA15F9"/>
    <w:rPr>
      <w:color w:val="auto"/>
    </w:rPr>
  </w:style>
  <w:style w:type="paragraph" w:customStyle="1" w:styleId="ARCATArticle">
    <w:name w:val="ARCAT Article"/>
    <w:basedOn w:val="Default"/>
    <w:next w:val="Default"/>
    <w:uiPriority w:val="99"/>
    <w:rsid w:val="00BA15F9"/>
    <w:rPr>
      <w:color w:val="auto"/>
    </w:rPr>
  </w:style>
  <w:style w:type="paragraph" w:customStyle="1" w:styleId="ARCATParagraph">
    <w:name w:val="ARCAT Paragraph"/>
    <w:basedOn w:val="Default"/>
    <w:next w:val="Default"/>
    <w:uiPriority w:val="99"/>
    <w:rsid w:val="00BA15F9"/>
    <w:rPr>
      <w:color w:val="auto"/>
    </w:rPr>
  </w:style>
  <w:style w:type="paragraph" w:customStyle="1" w:styleId="ARCATSubPara">
    <w:name w:val="ARCAT SubPara"/>
    <w:basedOn w:val="Default"/>
    <w:next w:val="Default"/>
    <w:uiPriority w:val="99"/>
    <w:rsid w:val="00BA15F9"/>
    <w:rPr>
      <w:color w:val="auto"/>
    </w:rPr>
  </w:style>
  <w:style w:type="paragraph" w:customStyle="1" w:styleId="ARCATSubSub1">
    <w:name w:val="ARCAT SubSub1"/>
    <w:basedOn w:val="Default"/>
    <w:next w:val="Default"/>
    <w:uiPriority w:val="99"/>
    <w:rsid w:val="00BA15F9"/>
    <w:rPr>
      <w:color w:val="auto"/>
    </w:rPr>
  </w:style>
  <w:style w:type="paragraph" w:customStyle="1" w:styleId="ARCATPart">
    <w:name w:val="ARCAT Part"/>
    <w:basedOn w:val="Default"/>
    <w:next w:val="Default"/>
    <w:uiPriority w:val="99"/>
    <w:rsid w:val="00BA15F9"/>
    <w:rPr>
      <w:color w:val="auto"/>
    </w:rPr>
  </w:style>
  <w:style w:type="character" w:styleId="Hyperlink">
    <w:name w:val="Hyperlink"/>
    <w:basedOn w:val="DefaultParagraphFont"/>
    <w:uiPriority w:val="99"/>
    <w:rsid w:val="00671FC2"/>
    <w:rPr>
      <w:color w:val="0000FF"/>
      <w:u w:val="single"/>
    </w:rPr>
  </w:style>
  <w:style w:type="paragraph" w:styleId="BalloonText">
    <w:name w:val="Balloon Text"/>
    <w:basedOn w:val="Normal"/>
    <w:link w:val="BalloonTextChar"/>
    <w:uiPriority w:val="99"/>
    <w:semiHidden/>
    <w:unhideWhenUsed/>
    <w:rsid w:val="00F7667C"/>
    <w:rPr>
      <w:rFonts w:ascii="Tahoma" w:hAnsi="Tahoma" w:cs="Tahoma"/>
      <w:sz w:val="16"/>
      <w:szCs w:val="16"/>
    </w:rPr>
  </w:style>
  <w:style w:type="character" w:customStyle="1" w:styleId="BalloonTextChar">
    <w:name w:val="Balloon Text Char"/>
    <w:basedOn w:val="DefaultParagraphFont"/>
    <w:link w:val="BalloonText"/>
    <w:uiPriority w:val="99"/>
    <w:semiHidden/>
    <w:rsid w:val="00F7667C"/>
    <w:rPr>
      <w:rFonts w:ascii="Tahoma" w:eastAsia="Times New Roman" w:hAnsi="Tahoma" w:cs="Tahoma"/>
      <w:sz w:val="16"/>
      <w:szCs w:val="16"/>
    </w:rPr>
  </w:style>
  <w:style w:type="table" w:styleId="TableGrid">
    <w:name w:val="Table Grid"/>
    <w:basedOn w:val="TableNormal"/>
    <w:uiPriority w:val="59"/>
    <w:rsid w:val="00F7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766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title1">
    <w:name w:val="subtitle1"/>
    <w:rsid w:val="00F7667C"/>
    <w:rPr>
      <w:rFonts w:ascii="Arial" w:hAnsi="Arial" w:cs="Arial" w:hint="default"/>
      <w:b/>
      <w:bCs/>
      <w:color w:val="6699C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decorativefilm.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decorative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7C007D5FEB544BBF2835EAEE3E6A8" ma:contentTypeVersion="6" ma:contentTypeDescription="Create a new document." ma:contentTypeScope="" ma:versionID="1f11cded2ee753733d7770ec616c6b9b">
  <xsd:schema xmlns:xsd="http://www.w3.org/2001/XMLSchema" xmlns:xs="http://www.w3.org/2001/XMLSchema" xmlns:p="http://schemas.microsoft.com/office/2006/metadata/properties" xmlns:ns2="7d04b647-0ae8-491c-ac6e-1eaad60d6dd7" targetNamespace="http://schemas.microsoft.com/office/2006/metadata/properties" ma:root="true" ma:fieldsID="5057280135bf9576ab04bd48c2a51ea5" ns2:_="">
    <xsd:import namespace="7d04b647-0ae8-491c-ac6e-1eaad60d6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4b647-0ae8-491c-ac6e-1eaad60d6d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208B1-4300-45C0-A7C1-301AEFE08B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5D8A3-0115-4F42-A438-2C4D151D1F37}"/>
</file>

<file path=customXml/itemProps3.xml><?xml version="1.0" encoding="utf-8"?>
<ds:datastoreItem xmlns:ds="http://schemas.openxmlformats.org/officeDocument/2006/customXml" ds:itemID="{55119680-9F71-463F-9B14-744FBD197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Huyser</cp:lastModifiedBy>
  <cp:revision>2</cp:revision>
  <dcterms:created xsi:type="dcterms:W3CDTF">2018-02-27T15:36:00Z</dcterms:created>
  <dcterms:modified xsi:type="dcterms:W3CDTF">2018-02-27T15:36:00Z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0x010100E4A7C007D5FEB544BBF2835EAEE3E6A8</vt:lpwstr>
  </property>
</Properties>
</file>